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6329D">
      <w:pPr>
        <w:widowControl/>
        <w:adjustRightInd w:val="0"/>
        <w:snapToGrid w:val="0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28"/>
        </w:rPr>
        <w:t>关于做好202</w:t>
      </w:r>
      <w:r>
        <w:rPr>
          <w:rFonts w:ascii="方正小标宋简体" w:hAnsi="宋体" w:eastAsia="方正小标宋简体" w:cs="宋体"/>
          <w:color w:val="000000"/>
          <w:kern w:val="0"/>
          <w:sz w:val="36"/>
          <w:szCs w:val="28"/>
        </w:rPr>
        <w:t>4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28"/>
        </w:rPr>
        <w:t>年小米奖助学金评审工作的通知</w:t>
      </w:r>
    </w:p>
    <w:p w14:paraId="2E005E4B">
      <w:pPr>
        <w:widowControl/>
        <w:adjustRightInd w:val="0"/>
        <w:snapToGrid w:val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 w14:paraId="5F2E31FF">
      <w:pPr>
        <w:widowControl/>
        <w:adjustRightInd w:val="0"/>
        <w:snapToGrid w:val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 w14:paraId="74F08954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东南大学小米奖学金、助学金评审工作已启动，现将有关事项通知如下：</w:t>
      </w:r>
    </w:p>
    <w:p w14:paraId="4AD13F05">
      <w:pPr>
        <w:widowControl/>
        <w:adjustRightInd w:val="0"/>
        <w:snapToGrid w:val="0"/>
        <w:spacing w:line="276" w:lineRule="auto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一、奖励范围及额度</w:t>
      </w:r>
    </w:p>
    <w:p w14:paraId="586B850C">
      <w:pPr>
        <w:widowControl/>
        <w:adjustRightInd w:val="0"/>
        <w:snapToGrid w:val="0"/>
        <w:spacing w:line="276" w:lineRule="auto"/>
        <w:ind w:firstLine="562" w:firstLineChars="200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bookmarkStart w:id="1" w:name="_GoBack"/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（一）“小米奖学金”“小米特等奖学金”：</w:t>
      </w:r>
    </w:p>
    <w:p w14:paraId="2FDBFC38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“东南大学小米奖学金”奖励综合素质优秀的硕士研究生，其中“小米奖学金”5000元/人/学年；</w:t>
      </w:r>
      <w:bookmarkStart w:id="0" w:name="_Hlk178503455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“小米特等奖学金”</w:t>
      </w:r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20000元/人/学年。从推荐人选中遴选产生“小米特等奖学金”获得者。“小米奖学金”和“小米特等奖学金”不兼得。</w:t>
      </w:r>
      <w:bookmarkEnd w:id="1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</w:p>
    <w:tbl>
      <w:tblPr>
        <w:tblStyle w:val="5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990"/>
        <w:gridCol w:w="2977"/>
      </w:tblGrid>
      <w:tr w14:paraId="3757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vAlign w:val="center"/>
          </w:tcPr>
          <w:p w14:paraId="2567C88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  <w:t>学院</w:t>
            </w:r>
          </w:p>
        </w:tc>
        <w:tc>
          <w:tcPr>
            <w:tcW w:w="1990" w:type="dxa"/>
            <w:vAlign w:val="center"/>
          </w:tcPr>
          <w:p w14:paraId="1985019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  <w:t>小米奖学金推荐人数</w:t>
            </w:r>
          </w:p>
        </w:tc>
        <w:tc>
          <w:tcPr>
            <w:tcW w:w="2977" w:type="dxa"/>
            <w:vAlign w:val="center"/>
          </w:tcPr>
          <w:p w14:paraId="1E9AE52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  <w:t>从小米奖学金推荐人选中推荐参评特等奖学金人数</w:t>
            </w:r>
          </w:p>
        </w:tc>
      </w:tr>
      <w:tr w14:paraId="2044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</w:tcPr>
          <w:p w14:paraId="0F969B6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等线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8"/>
              </w:rPr>
              <w:t>计算机科学与工程学院（南京）</w:t>
            </w:r>
          </w:p>
        </w:tc>
        <w:tc>
          <w:tcPr>
            <w:tcW w:w="1990" w:type="dxa"/>
          </w:tcPr>
          <w:p w14:paraId="1FD51A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等线" w:eastAsia="仿宋_GB2312"/>
                <w:color w:val="000000"/>
                <w:sz w:val="24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14:paraId="4D6E6C7E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等线" w:eastAsia="仿宋_GB2312"/>
                <w:color w:val="000000"/>
                <w:sz w:val="24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4"/>
                <w:szCs w:val="28"/>
              </w:rPr>
              <w:t>1</w:t>
            </w:r>
          </w:p>
        </w:tc>
      </w:tr>
      <w:tr w14:paraId="20DB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</w:tcPr>
          <w:p w14:paraId="00AF95B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8"/>
              </w:rPr>
              <w:t>软件学院（南京）</w:t>
            </w:r>
          </w:p>
        </w:tc>
        <w:tc>
          <w:tcPr>
            <w:tcW w:w="1990" w:type="dxa"/>
          </w:tcPr>
          <w:p w14:paraId="6B0F882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14:paraId="4DE68DD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4"/>
                <w:szCs w:val="28"/>
              </w:rPr>
              <w:t>1</w:t>
            </w:r>
          </w:p>
        </w:tc>
      </w:tr>
    </w:tbl>
    <w:p w14:paraId="6CBF52E0">
      <w:pPr>
        <w:widowControl/>
        <w:adjustRightInd w:val="0"/>
        <w:snapToGrid w:val="0"/>
        <w:spacing w:line="276" w:lineRule="auto"/>
        <w:ind w:firstLine="562" w:firstLineChars="200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（二）“小米助学金”：</w:t>
      </w:r>
    </w:p>
    <w:p w14:paraId="02DB4DF2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“东南大学小米助学金”奖励家庭经济困难的硕士研究生。5000元/人/学年。</w:t>
      </w:r>
    </w:p>
    <w:tbl>
      <w:tblPr>
        <w:tblStyle w:val="5"/>
        <w:tblW w:w="7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3402"/>
      </w:tblGrid>
      <w:tr w14:paraId="4503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81" w:type="dxa"/>
            <w:vAlign w:val="center"/>
          </w:tcPr>
          <w:p w14:paraId="3249E60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  <w:t>学院</w:t>
            </w:r>
          </w:p>
        </w:tc>
        <w:tc>
          <w:tcPr>
            <w:tcW w:w="3402" w:type="dxa"/>
            <w:vAlign w:val="center"/>
          </w:tcPr>
          <w:p w14:paraId="580B4FD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8"/>
              </w:rPr>
              <w:t>小米助学金推荐人数</w:t>
            </w:r>
          </w:p>
        </w:tc>
      </w:tr>
      <w:tr w14:paraId="4249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3F6D5BB2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等线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8"/>
              </w:rPr>
              <w:t>计算机科学与工程学院（南京）</w:t>
            </w:r>
          </w:p>
        </w:tc>
        <w:tc>
          <w:tcPr>
            <w:tcW w:w="3402" w:type="dxa"/>
            <w:vAlign w:val="center"/>
          </w:tcPr>
          <w:p w14:paraId="6163874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等线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8"/>
              </w:rPr>
              <w:t>1</w:t>
            </w:r>
          </w:p>
        </w:tc>
      </w:tr>
      <w:tr w14:paraId="5108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vAlign w:val="center"/>
          </w:tcPr>
          <w:p w14:paraId="0A6194F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等线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8"/>
              </w:rPr>
              <w:t>软件学院（南京）</w:t>
            </w:r>
          </w:p>
        </w:tc>
        <w:tc>
          <w:tcPr>
            <w:tcW w:w="3402" w:type="dxa"/>
            <w:vAlign w:val="center"/>
          </w:tcPr>
          <w:p w14:paraId="5C9B689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等线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8"/>
              </w:rPr>
              <w:t>1</w:t>
            </w:r>
          </w:p>
        </w:tc>
      </w:tr>
    </w:tbl>
    <w:p w14:paraId="37B714F7">
      <w:pPr>
        <w:widowControl/>
        <w:adjustRightInd w:val="0"/>
        <w:snapToGrid w:val="0"/>
        <w:spacing w:line="276" w:lineRule="auto"/>
        <w:rPr>
          <w:rFonts w:ascii="仿宋_GB2312" w:hAnsi="宋体" w:eastAsia="仿宋_GB2312" w:cs="宋体"/>
          <w:color w:val="000000"/>
          <w:kern w:val="0"/>
          <w:sz w:val="24"/>
          <w:szCs w:val="28"/>
        </w:rPr>
      </w:pPr>
    </w:p>
    <w:p w14:paraId="05AC2A57">
      <w:pPr>
        <w:widowControl/>
        <w:adjustRightInd w:val="0"/>
        <w:snapToGrid w:val="0"/>
        <w:spacing w:line="276" w:lineRule="auto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二、奖励及资助条件</w:t>
      </w:r>
    </w:p>
    <w:p w14:paraId="38E10095">
      <w:pPr>
        <w:widowControl/>
        <w:adjustRightInd w:val="0"/>
        <w:snapToGrid w:val="0"/>
        <w:spacing w:line="276" w:lineRule="auto"/>
        <w:ind w:firstLine="562" w:firstLineChars="200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（一）小米奖助学金申请基本条件</w:t>
      </w:r>
    </w:p>
    <w:p w14:paraId="2AE017B7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1、东南大学在籍学制内全日制非定向硕士研究生；</w:t>
      </w:r>
    </w:p>
    <w:p w14:paraId="71FA9B2C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、热爱社会主义祖国，拥护中国共产党的领导，热爱学校，热爱所学专业，在思想、品德、作风等方面起到模范作用，综合素质优秀；</w:t>
      </w:r>
    </w:p>
    <w:p w14:paraId="361FE311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、学习刻苦，成绩优异，科技创新能力强；</w:t>
      </w:r>
    </w:p>
    <w:p w14:paraId="0056D53A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、社会责任感强，具有合作精神和奉献精神，热心社会公益活动，担任过主要学生干部者优先；</w:t>
      </w:r>
    </w:p>
    <w:p w14:paraId="1E3EC194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、积极进取，勇于创新、明礼诚信。</w:t>
      </w:r>
    </w:p>
    <w:p w14:paraId="68950463">
      <w:pPr>
        <w:widowControl/>
        <w:adjustRightInd w:val="0"/>
        <w:snapToGrid w:val="0"/>
        <w:spacing w:line="276" w:lineRule="auto"/>
        <w:ind w:firstLine="562" w:firstLineChars="200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（二）特等奖学金申请其他条件</w:t>
      </w:r>
    </w:p>
    <w:p w14:paraId="37D625FA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1、专业成绩排名前20%；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</w:p>
    <w:p w14:paraId="2D7BC3C2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、在科学研究方面有突出表现，如：有以东南大学为第一专利权人的发明专利；在省级以上重要科技创新大赛中取得优异成绩；在校期间以第一作者或通讯作者，或导师第一作者学生第二作者身份发表学术论文等；</w:t>
      </w:r>
    </w:p>
    <w:p w14:paraId="0011BE73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3、同等条件下家庭经济困难的学生优先；</w:t>
      </w:r>
    </w:p>
    <w:p w14:paraId="43C3F481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4、除成绩以外，以上成果均为未使用过的成果。</w:t>
      </w:r>
    </w:p>
    <w:p w14:paraId="4F87D194">
      <w:pPr>
        <w:widowControl/>
        <w:adjustRightInd w:val="0"/>
        <w:snapToGrid w:val="0"/>
        <w:spacing w:line="276" w:lineRule="auto"/>
        <w:ind w:firstLine="562" w:firstLineChars="200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（三）奖学金申请其他条件</w:t>
      </w:r>
    </w:p>
    <w:p w14:paraId="288004A4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、专业成绩排名前50%；</w:t>
      </w:r>
    </w:p>
    <w:p w14:paraId="523ED44E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、在科学研究方面有突出表现，如：有以我校为第一专利权人的发明专利；在省级以上重要科技创新大赛中取得优异成绩；在校期间以第一作者或通讯作者，或导师第一作者学生第二作者身份发表学术论文等。</w:t>
      </w:r>
    </w:p>
    <w:p w14:paraId="4F638E2D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、同等条件下家庭经济困难的学生优先；</w:t>
      </w:r>
    </w:p>
    <w:p w14:paraId="39522605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、除成绩以外，以上成果均为未使用过的成果。</w:t>
      </w:r>
    </w:p>
    <w:p w14:paraId="1F896735">
      <w:pPr>
        <w:widowControl/>
        <w:adjustRightInd w:val="0"/>
        <w:snapToGrid w:val="0"/>
        <w:spacing w:line="276" w:lineRule="auto"/>
        <w:ind w:firstLine="562" w:firstLineChars="200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（四）助学金申请其他条件</w:t>
      </w:r>
    </w:p>
    <w:p w14:paraId="75492A7A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、需由东南大学根据国家相关规定认定为家庭经济困难；</w:t>
      </w:r>
    </w:p>
    <w:p w14:paraId="12EF7C70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、不与其他社会捐赠助学金兼得；</w:t>
      </w:r>
    </w:p>
    <w:p w14:paraId="0885A0BE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、同等条件下优秀学生优先。</w:t>
      </w:r>
    </w:p>
    <w:p w14:paraId="09745A84">
      <w:pPr>
        <w:widowControl/>
        <w:adjustRightInd w:val="0"/>
        <w:snapToGrid w:val="0"/>
        <w:spacing w:line="276" w:lineRule="auto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三、评选推荐程序</w:t>
      </w:r>
    </w:p>
    <w:p w14:paraId="4FC123FD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1、学院通知学生填写并提交申请材料，经学院奖助学金评审小组评审、确定拟推荐学生名单并公示无异议后，学院将奖学金（或助学金）申请表、汇总表提交研究生院；</w:t>
      </w:r>
    </w:p>
    <w:p w14:paraId="3F8E76EE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2、学校拟于十月下旬组织“小米特等奖学金”评审会，参评学生进行汇报答辩，评定获奖人选；</w:t>
      </w:r>
    </w:p>
    <w:p w14:paraId="30762F7C">
      <w:pPr>
        <w:widowControl/>
        <w:adjustRightInd w:val="0"/>
        <w:snapToGrid w:val="0"/>
        <w:spacing w:line="276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3、研究生院审核申报材料并公示后，报送学校“小米奖助学金”评审委员会办公室。</w:t>
      </w:r>
    </w:p>
    <w:sectPr>
      <w:pgSz w:w="11906" w:h="16838"/>
      <w:pgMar w:top="1440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Arial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NewPSMT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4YzdkNWEzMDdmZmIwMDI5NzI0YzZiYjUxNzdiMTkifQ=="/>
  </w:docVars>
  <w:rsids>
    <w:rsidRoot w:val="003112E5"/>
    <w:rsid w:val="00026170"/>
    <w:rsid w:val="00031DA7"/>
    <w:rsid w:val="00054E2F"/>
    <w:rsid w:val="0008110C"/>
    <w:rsid w:val="00103D10"/>
    <w:rsid w:val="001058B6"/>
    <w:rsid w:val="001274D3"/>
    <w:rsid w:val="001B3FE8"/>
    <w:rsid w:val="002526EC"/>
    <w:rsid w:val="00255A28"/>
    <w:rsid w:val="002E0C3B"/>
    <w:rsid w:val="003112E5"/>
    <w:rsid w:val="00312C91"/>
    <w:rsid w:val="00334DF5"/>
    <w:rsid w:val="00360B32"/>
    <w:rsid w:val="00362D18"/>
    <w:rsid w:val="0039552C"/>
    <w:rsid w:val="00402EE5"/>
    <w:rsid w:val="00445C02"/>
    <w:rsid w:val="004743DA"/>
    <w:rsid w:val="00475DA4"/>
    <w:rsid w:val="004B7E0C"/>
    <w:rsid w:val="0058565B"/>
    <w:rsid w:val="00591818"/>
    <w:rsid w:val="005D268D"/>
    <w:rsid w:val="005E32EC"/>
    <w:rsid w:val="00645617"/>
    <w:rsid w:val="006B79DF"/>
    <w:rsid w:val="0072522F"/>
    <w:rsid w:val="007A1315"/>
    <w:rsid w:val="007F1FEA"/>
    <w:rsid w:val="007F394F"/>
    <w:rsid w:val="00803659"/>
    <w:rsid w:val="008A52AA"/>
    <w:rsid w:val="008B7863"/>
    <w:rsid w:val="009406A7"/>
    <w:rsid w:val="009538C8"/>
    <w:rsid w:val="009758EF"/>
    <w:rsid w:val="009828D3"/>
    <w:rsid w:val="009F1637"/>
    <w:rsid w:val="00A00BFE"/>
    <w:rsid w:val="00A1706F"/>
    <w:rsid w:val="00A2539C"/>
    <w:rsid w:val="00A409F2"/>
    <w:rsid w:val="00AC69B5"/>
    <w:rsid w:val="00AD3B0C"/>
    <w:rsid w:val="00AE7DED"/>
    <w:rsid w:val="00B00A40"/>
    <w:rsid w:val="00B50FBE"/>
    <w:rsid w:val="00B53D3A"/>
    <w:rsid w:val="00B67A02"/>
    <w:rsid w:val="00B924DA"/>
    <w:rsid w:val="00BD3FF2"/>
    <w:rsid w:val="00C13D5C"/>
    <w:rsid w:val="00C33B95"/>
    <w:rsid w:val="00C93580"/>
    <w:rsid w:val="00CF6A2A"/>
    <w:rsid w:val="00D57270"/>
    <w:rsid w:val="00D604DE"/>
    <w:rsid w:val="00D64229"/>
    <w:rsid w:val="00D82109"/>
    <w:rsid w:val="00D924D0"/>
    <w:rsid w:val="00D944B9"/>
    <w:rsid w:val="00E87658"/>
    <w:rsid w:val="00F43CAB"/>
    <w:rsid w:val="00F90B5B"/>
    <w:rsid w:val="00FA598D"/>
    <w:rsid w:val="00FD0EF1"/>
    <w:rsid w:val="00FE369E"/>
    <w:rsid w:val="62A7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style01"/>
    <w:basedOn w:val="6"/>
    <w:uiPriority w:val="0"/>
    <w:rPr>
      <w:rFonts w:hint="eastAsia" w:ascii="宋体" w:hAnsi="宋体" w:eastAsia="宋体"/>
      <w:color w:val="000000"/>
      <w:sz w:val="26"/>
      <w:szCs w:val="26"/>
    </w:rPr>
  </w:style>
  <w:style w:type="character" w:customStyle="1" w:styleId="8">
    <w:name w:val="fontstyle21"/>
    <w:basedOn w:val="6"/>
    <w:qFormat/>
    <w:uiPriority w:val="0"/>
    <w:rPr>
      <w:rFonts w:hint="eastAsia" w:ascii="SimSun-ExtB" w:hAnsi="SimSun-ExtB" w:eastAsia="SimSun-ExtB"/>
      <w:color w:val="AD7170"/>
      <w:sz w:val="12"/>
      <w:szCs w:val="12"/>
    </w:rPr>
  </w:style>
  <w:style w:type="character" w:customStyle="1" w:styleId="9">
    <w:name w:val="fontstyle31"/>
    <w:basedOn w:val="6"/>
    <w:qFormat/>
    <w:uiPriority w:val="0"/>
    <w:rPr>
      <w:rFonts w:hint="default" w:ascii="ArialMT" w:hAnsi="ArialMT"/>
      <w:color w:val="000000"/>
      <w:sz w:val="24"/>
      <w:szCs w:val="24"/>
    </w:rPr>
  </w:style>
  <w:style w:type="character" w:customStyle="1" w:styleId="10">
    <w:name w:val="fontstyle41"/>
    <w:basedOn w:val="6"/>
    <w:uiPriority w:val="0"/>
    <w:rPr>
      <w:rFonts w:hint="default" w:ascii="CourierNewPSMT" w:hAnsi="CourierNewPSMT"/>
      <w:color w:val="000000"/>
      <w:sz w:val="74"/>
      <w:szCs w:val="74"/>
    </w:rPr>
  </w:style>
  <w:style w:type="character" w:customStyle="1" w:styleId="11">
    <w:name w:val="页眉 字符"/>
    <w:basedOn w:val="6"/>
    <w:link w:val="3"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1287</Words>
  <Characters>1329</Characters>
  <Lines>10</Lines>
  <Paragraphs>2</Paragraphs>
  <TotalTime>218</TotalTime>
  <ScaleCrop>false</ScaleCrop>
  <LinksUpToDate>false</LinksUpToDate>
  <CharactersWithSpaces>1333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2023-09-13T11:06:00Z</dcterms:created>
  <dc:creator>刘政伟</dc:creator>
  <cp:lastModifiedBy>……！</cp:lastModifiedBy>
  <dcterms:modified xsi:type="dcterms:W3CDTF">2024-09-30T11:33:08Z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07C1231E33424714BA9BC55168BAC726_12</vt:lpwstr>
  </property>
</Properties>
</file>